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73" w:rsidRDefault="003D5273" w:rsidP="00D80CF3">
      <w:pPr>
        <w:spacing w:after="0" w:line="240" w:lineRule="auto"/>
        <w:ind w:left="5818" w:right="-1"/>
        <w:jc w:val="both"/>
        <w:rPr>
          <w:rFonts w:eastAsia="Times New Roman" w:cs="Times New Roman"/>
          <w:b/>
          <w:lang w:eastAsia="ru-RU"/>
        </w:rPr>
      </w:pPr>
    </w:p>
    <w:p w:rsidR="00436C61" w:rsidRPr="008004AA" w:rsidRDefault="00436C61" w:rsidP="00D80CF3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>УТВЕРЖДЕНО</w:t>
      </w:r>
    </w:p>
    <w:p w:rsidR="00436C61" w:rsidRPr="008004AA" w:rsidRDefault="00436C61" w:rsidP="00D80CF3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 xml:space="preserve">ИП </w:t>
      </w:r>
      <w:r w:rsidR="00635108">
        <w:rPr>
          <w:rFonts w:eastAsia="Times New Roman" w:cs="Times New Roman"/>
          <w:b/>
          <w:lang w:eastAsia="ru-RU"/>
        </w:rPr>
        <w:t>Агаджанова К.А.</w:t>
      </w:r>
    </w:p>
    <w:p w:rsidR="00436C61" w:rsidRPr="008004AA" w:rsidRDefault="00436C61" w:rsidP="00D80CF3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 xml:space="preserve">« </w:t>
      </w:r>
      <w:r w:rsidR="00DF1F5B">
        <w:rPr>
          <w:rFonts w:eastAsia="Times New Roman" w:cs="Times New Roman"/>
          <w:b/>
          <w:lang w:eastAsia="ru-RU"/>
        </w:rPr>
        <w:t>16</w:t>
      </w:r>
      <w:bookmarkStart w:id="0" w:name="_GoBack"/>
      <w:bookmarkEnd w:id="0"/>
      <w:r>
        <w:rPr>
          <w:rFonts w:eastAsia="Times New Roman" w:cs="Times New Roman"/>
          <w:b/>
          <w:lang w:eastAsia="ru-RU"/>
        </w:rPr>
        <w:t xml:space="preserve"> </w:t>
      </w:r>
      <w:r w:rsidRPr="008004AA">
        <w:rPr>
          <w:rFonts w:eastAsia="Times New Roman" w:cs="Times New Roman"/>
          <w:b/>
          <w:lang w:eastAsia="ru-RU"/>
        </w:rPr>
        <w:t>»</w:t>
      </w:r>
      <w:r>
        <w:rPr>
          <w:rFonts w:eastAsia="Times New Roman" w:cs="Times New Roman"/>
          <w:b/>
          <w:lang w:eastAsia="ru-RU"/>
        </w:rPr>
        <w:t xml:space="preserve"> </w:t>
      </w:r>
      <w:r w:rsidR="00635108">
        <w:rPr>
          <w:rFonts w:eastAsia="Times New Roman" w:cs="Times New Roman"/>
          <w:b/>
          <w:lang w:eastAsia="ru-RU"/>
        </w:rPr>
        <w:t>ноября</w:t>
      </w:r>
      <w:r>
        <w:rPr>
          <w:rFonts w:eastAsia="Times New Roman" w:cs="Times New Roman"/>
          <w:b/>
          <w:lang w:eastAsia="ru-RU"/>
        </w:rPr>
        <w:t xml:space="preserve"> </w:t>
      </w:r>
      <w:r w:rsidRPr="008004AA">
        <w:rPr>
          <w:rFonts w:eastAsia="Times New Roman" w:cs="Times New Roman"/>
          <w:b/>
          <w:lang w:eastAsia="ru-RU"/>
        </w:rPr>
        <w:t>20</w:t>
      </w:r>
      <w:r w:rsidR="00635108">
        <w:rPr>
          <w:rFonts w:eastAsia="Times New Roman" w:cs="Times New Roman"/>
          <w:b/>
          <w:lang w:eastAsia="ru-RU"/>
        </w:rPr>
        <w:t xml:space="preserve">20 </w:t>
      </w:r>
      <w:r w:rsidRPr="008004AA">
        <w:rPr>
          <w:rFonts w:eastAsia="Times New Roman" w:cs="Times New Roman"/>
          <w:b/>
          <w:lang w:eastAsia="ru-RU"/>
        </w:rPr>
        <w:t>г</w:t>
      </w:r>
      <w:r>
        <w:rPr>
          <w:rFonts w:eastAsia="Times New Roman" w:cs="Times New Roman"/>
          <w:b/>
          <w:lang w:eastAsia="ru-RU"/>
        </w:rPr>
        <w:t>.</w:t>
      </w:r>
    </w:p>
    <w:p w:rsidR="00436C61" w:rsidRPr="00B727E7" w:rsidRDefault="00436C61" w:rsidP="00D80CF3">
      <w:pPr>
        <w:spacing w:after="0" w:line="240" w:lineRule="auto"/>
        <w:ind w:left="5818" w:right="-1"/>
        <w:jc w:val="both"/>
        <w:rPr>
          <w:rFonts w:eastAsia="Times New Roman" w:cs="Times New Roman"/>
          <w:b/>
          <w:lang w:eastAsia="ru-RU"/>
        </w:rPr>
      </w:pPr>
    </w:p>
    <w:p w:rsidR="00D014DF" w:rsidRPr="00B727E7" w:rsidRDefault="00D014DF" w:rsidP="003D5273">
      <w:pPr>
        <w:spacing w:after="0" w:line="240" w:lineRule="auto"/>
        <w:jc w:val="center"/>
        <w:rPr>
          <w:rFonts w:eastAsia="Calibri" w:cs="Times New Roman"/>
          <w:b/>
        </w:rPr>
      </w:pPr>
      <w:r w:rsidRPr="00B727E7">
        <w:rPr>
          <w:rFonts w:eastAsia="Calibri" w:cs="Times New Roman"/>
          <w:b/>
        </w:rPr>
        <w:t>Декларация о рисках, связанных с приобретением иностранных ценных бумаг</w:t>
      </w:r>
    </w:p>
    <w:p w:rsidR="0070044C" w:rsidRPr="00B727E7" w:rsidRDefault="0070044C" w:rsidP="003D5273">
      <w:pPr>
        <w:spacing w:after="0" w:line="240" w:lineRule="auto"/>
        <w:jc w:val="center"/>
        <w:rPr>
          <w:rFonts w:eastAsia="Calibri" w:cs="Times New Roman"/>
          <w:b/>
        </w:rPr>
      </w:pPr>
    </w:p>
    <w:p w:rsidR="0070044C" w:rsidRPr="00B727E7" w:rsidRDefault="0070044C" w:rsidP="003D5273">
      <w:pPr>
        <w:spacing w:after="0" w:line="240" w:lineRule="auto"/>
        <w:jc w:val="both"/>
        <w:rPr>
          <w:rFonts w:eastAsia="Calibri" w:cs="Times New Roman"/>
          <w:b/>
        </w:rPr>
      </w:pP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Целью настоящей Декл</w:t>
      </w:r>
      <w:r w:rsidR="00AA5316" w:rsidRPr="00B727E7">
        <w:rPr>
          <w:rFonts w:eastAsia="Calibri" w:cs="Times New Roman"/>
        </w:rPr>
        <w:t>арации является предоставление К</w:t>
      </w:r>
      <w:r w:rsidRPr="00B727E7">
        <w:rPr>
          <w:rFonts w:eastAsia="Calibri" w:cs="Times New Roman"/>
        </w:rPr>
        <w:t>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Операциям с иностранными ценными бумагами присущи общие риски, связанные с операциями на рынке ценных бумаг со следующими особенностями.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Системные риски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развитости финансовой системы страны места нахождения лица, обязанного по иностранной ценной бумаге.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Правовые риски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ним </w:t>
      </w:r>
      <w:r w:rsidRPr="00B727E7">
        <w:rPr>
          <w:rFonts w:eastAsia="Calibri" w:cs="Times New Roman"/>
        </w:rPr>
        <w:lastRenderedPageBreak/>
        <w:t>права и правила их осуществления могут существенно отличаться от прав по российским ценным бумагам.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от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Раскрытие информации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</w:t>
      </w:r>
    </w:p>
    <w:p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 связанных с возможным различным переводом одних и тех же иностранных слов и фраз или отсутствием общепринятого русского эквивалента.</w:t>
      </w:r>
    </w:p>
    <w:p w:rsidR="004503E5" w:rsidRPr="00B727E7" w:rsidRDefault="004503E5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Риски, связанные с проведением операций с конкретными иностранными бумагами могут содержаться в эмиссионных документах, в связи с чем настоятельно рекомендую ознакомиться с эмиссионными документами до принятия решения о совершении операций с конкретными иностранными ценными бумагами. Реализация прав по </w:t>
      </w:r>
      <w:r w:rsidR="00CF5CCD" w:rsidRPr="00B727E7">
        <w:rPr>
          <w:rFonts w:eastAsia="Calibri" w:cs="Times New Roman"/>
        </w:rPr>
        <w:t>иностранным</w:t>
      </w:r>
      <w:r w:rsidRPr="00B727E7">
        <w:rPr>
          <w:rFonts w:eastAsia="Calibri" w:cs="Times New Roman"/>
        </w:rPr>
        <w:t xml:space="preserve"> ценным бумагам зависит от особенностей регулирования страны регистрации эмитента и/или страны регистрации иностранной биржи, на которой обращаются ценные бумаги.</w:t>
      </w:r>
    </w:p>
    <w:p w:rsidR="004503E5" w:rsidRPr="00B727E7" w:rsidRDefault="004503E5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В соответствии с п. 4.1. ст. 51.1. Федерального закона №39-ФЗ «О рынке ценных бумаг», организатор торговли в определенных случаях может допускать к публичному обращению в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иностранные ценные </w:t>
      </w:r>
      <w:r w:rsidR="00CF5CCD" w:rsidRPr="00B727E7">
        <w:rPr>
          <w:rFonts w:eastAsia="Calibri" w:cs="Times New Roman"/>
        </w:rPr>
        <w:t>бумаги</w:t>
      </w:r>
      <w:r w:rsidRPr="00B727E7">
        <w:rPr>
          <w:rFonts w:eastAsia="Calibri" w:cs="Times New Roman"/>
        </w:rPr>
        <w:t xml:space="preserve"> без </w:t>
      </w:r>
      <w:r w:rsidR="00CF5CCD" w:rsidRPr="00B727E7">
        <w:rPr>
          <w:rFonts w:eastAsia="Calibri" w:cs="Times New Roman"/>
        </w:rPr>
        <w:t>заключения</w:t>
      </w:r>
      <w:r w:rsidRPr="00B727E7">
        <w:rPr>
          <w:rFonts w:eastAsia="Calibri" w:cs="Times New Roman"/>
        </w:rPr>
        <w:t xml:space="preserve"> договора с их эмитентом. В таком случае </w:t>
      </w:r>
      <w:r w:rsidR="00CF5CCD" w:rsidRPr="00B727E7">
        <w:rPr>
          <w:rFonts w:eastAsia="Calibri" w:cs="Times New Roman"/>
        </w:rPr>
        <w:t>иностранный</w:t>
      </w:r>
      <w:r w:rsidRPr="00B727E7">
        <w:rPr>
          <w:rFonts w:eastAsia="Calibri" w:cs="Times New Roman"/>
        </w:rPr>
        <w:t xml:space="preserve"> эмитент не обязан </w:t>
      </w:r>
      <w:r w:rsidR="00CF5CCD" w:rsidRPr="00B727E7">
        <w:rPr>
          <w:rFonts w:eastAsia="Calibri" w:cs="Times New Roman"/>
        </w:rPr>
        <w:t>раскрывать</w:t>
      </w:r>
      <w:r w:rsidRPr="00B727E7">
        <w:rPr>
          <w:rFonts w:eastAsia="Calibri" w:cs="Times New Roman"/>
        </w:rPr>
        <w:t xml:space="preserve"> информацию в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о своей </w:t>
      </w:r>
      <w:r w:rsidR="00CF5CCD" w:rsidRPr="00B727E7">
        <w:rPr>
          <w:rFonts w:eastAsia="Calibri" w:cs="Times New Roman"/>
        </w:rPr>
        <w:t>деятельности</w:t>
      </w:r>
      <w:r w:rsidRPr="00B727E7">
        <w:rPr>
          <w:rFonts w:eastAsia="Calibri" w:cs="Times New Roman"/>
        </w:rPr>
        <w:t xml:space="preserve"> и о ценных </w:t>
      </w:r>
      <w:r w:rsidR="00CF5CCD" w:rsidRPr="00B727E7">
        <w:rPr>
          <w:rFonts w:eastAsia="Calibri" w:cs="Times New Roman"/>
        </w:rPr>
        <w:t>бумагах</w:t>
      </w:r>
      <w:r w:rsidRPr="00B727E7">
        <w:rPr>
          <w:rFonts w:eastAsia="Calibri" w:cs="Times New Roman"/>
        </w:rPr>
        <w:t xml:space="preserve">, </w:t>
      </w:r>
      <w:r w:rsidR="00CF5CCD" w:rsidRPr="00B727E7">
        <w:rPr>
          <w:rFonts w:eastAsia="Calibri" w:cs="Times New Roman"/>
        </w:rPr>
        <w:t>допущенных</w:t>
      </w:r>
      <w:r w:rsidRPr="00B727E7">
        <w:rPr>
          <w:rFonts w:eastAsia="Calibri" w:cs="Times New Roman"/>
        </w:rPr>
        <w:t xml:space="preserve"> к публичному обращению у организатора торговли. В соответствии с </w:t>
      </w:r>
      <w:r w:rsidR="00CF5CCD" w:rsidRPr="00B727E7">
        <w:rPr>
          <w:rFonts w:eastAsia="Calibri" w:cs="Times New Roman"/>
        </w:rPr>
        <w:t>законодательством</w:t>
      </w:r>
      <w:r w:rsidRPr="00B727E7">
        <w:rPr>
          <w:rFonts w:eastAsia="Calibri" w:cs="Times New Roman"/>
        </w:rPr>
        <w:t xml:space="preserve">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на такого эмитента не распространяются требования об инсайде, а также не </w:t>
      </w:r>
      <w:r w:rsidR="00CF5CCD" w:rsidRPr="00B727E7">
        <w:rPr>
          <w:rFonts w:eastAsia="Calibri" w:cs="Times New Roman"/>
        </w:rPr>
        <w:t>устанавливается</w:t>
      </w:r>
      <w:r w:rsidRPr="00B727E7">
        <w:rPr>
          <w:rFonts w:eastAsia="Calibri" w:cs="Times New Roman"/>
        </w:rPr>
        <w:t xml:space="preserve"> ответственность эмитента за убытки, причиненные </w:t>
      </w:r>
      <w:r w:rsidR="00CF5CCD" w:rsidRPr="00B727E7">
        <w:rPr>
          <w:rFonts w:eastAsia="Calibri" w:cs="Times New Roman"/>
        </w:rPr>
        <w:t>инвесторам</w:t>
      </w:r>
      <w:r w:rsidRPr="00B727E7">
        <w:rPr>
          <w:rFonts w:eastAsia="Calibri" w:cs="Times New Roman"/>
        </w:rPr>
        <w:t xml:space="preserve"> вследствие содержащейся в проспекте ценных </w:t>
      </w:r>
      <w:r w:rsidR="00CF5CCD" w:rsidRPr="00B727E7">
        <w:rPr>
          <w:rFonts w:eastAsia="Calibri" w:cs="Times New Roman"/>
        </w:rPr>
        <w:t>бумаг</w:t>
      </w:r>
      <w:r w:rsidRPr="00B727E7">
        <w:rPr>
          <w:rFonts w:eastAsia="Calibri" w:cs="Times New Roman"/>
        </w:rPr>
        <w:t xml:space="preserve"> иностранного эмитента </w:t>
      </w:r>
      <w:r w:rsidR="00CF5CCD" w:rsidRPr="00B727E7">
        <w:rPr>
          <w:rFonts w:eastAsia="Calibri" w:cs="Times New Roman"/>
        </w:rPr>
        <w:t>недостоверной</w:t>
      </w:r>
      <w:r w:rsidRPr="00B727E7">
        <w:rPr>
          <w:rFonts w:eastAsia="Calibri" w:cs="Times New Roman"/>
        </w:rPr>
        <w:t xml:space="preserve">, неполной и/или вводящей в </w:t>
      </w:r>
      <w:r w:rsidR="00CF5CCD" w:rsidRPr="00B727E7">
        <w:rPr>
          <w:rFonts w:eastAsia="Calibri" w:cs="Times New Roman"/>
        </w:rPr>
        <w:t>заблуждение</w:t>
      </w:r>
      <w:r w:rsidRPr="00B727E7">
        <w:rPr>
          <w:rFonts w:eastAsia="Calibri" w:cs="Times New Roman"/>
        </w:rPr>
        <w:t xml:space="preserve"> </w:t>
      </w:r>
      <w:r w:rsidR="00CF5CCD" w:rsidRPr="00B727E7">
        <w:rPr>
          <w:rFonts w:eastAsia="Calibri" w:cs="Times New Roman"/>
        </w:rPr>
        <w:t>информации</w:t>
      </w:r>
      <w:r w:rsidRPr="00B727E7">
        <w:rPr>
          <w:rFonts w:eastAsia="Calibri" w:cs="Times New Roman"/>
        </w:rPr>
        <w:t xml:space="preserve">. В случае допуска к </w:t>
      </w:r>
      <w:r w:rsidR="00CF5CCD" w:rsidRPr="00B727E7">
        <w:rPr>
          <w:rFonts w:eastAsia="Calibri" w:cs="Times New Roman"/>
        </w:rPr>
        <w:t>организованным</w:t>
      </w:r>
      <w:r w:rsidRPr="00B727E7">
        <w:rPr>
          <w:rFonts w:eastAsia="Calibri" w:cs="Times New Roman"/>
        </w:rPr>
        <w:t xml:space="preserve"> торгам </w:t>
      </w:r>
      <w:r w:rsidR="00CF5CCD" w:rsidRPr="00B727E7">
        <w:rPr>
          <w:rFonts w:eastAsia="Calibri" w:cs="Times New Roman"/>
        </w:rPr>
        <w:t>иностранных</w:t>
      </w:r>
      <w:r w:rsidRPr="00B727E7">
        <w:rPr>
          <w:rFonts w:eastAsia="Calibri" w:cs="Times New Roman"/>
        </w:rPr>
        <w:t xml:space="preserve"> ценных бумаг без договора с организатором торговли обеспечивается постоянных доступ к информации об иностранном эмитенте и о выпущенных им </w:t>
      </w:r>
      <w:r w:rsidR="00CF5CCD" w:rsidRPr="00B727E7">
        <w:rPr>
          <w:rFonts w:eastAsia="Calibri" w:cs="Times New Roman"/>
        </w:rPr>
        <w:t>ценных</w:t>
      </w:r>
      <w:r w:rsidRPr="00B727E7">
        <w:rPr>
          <w:rFonts w:eastAsia="Calibri" w:cs="Times New Roman"/>
        </w:rPr>
        <w:t xml:space="preserve"> бумагах</w:t>
      </w:r>
      <w:r w:rsidR="00CF5CCD" w:rsidRPr="00B727E7">
        <w:rPr>
          <w:rFonts w:eastAsia="Calibri" w:cs="Times New Roman"/>
        </w:rPr>
        <w:t xml:space="preserve">, раскрытой в соответствии с личным законом иностранной биржи, на которой указанные ценные бумаги прошли процедуру листинга. Такой доступ может быть обеспечен путем опубликования на сайте организатора торговли указателей страниц сайтов </w:t>
      </w:r>
      <w:r w:rsidR="00CF5CCD" w:rsidRPr="00B727E7">
        <w:rPr>
          <w:rFonts w:eastAsia="Calibri" w:cs="Times New Roman"/>
        </w:rPr>
        <w:lastRenderedPageBreak/>
        <w:t>информационно-телекоммуникационной сети Интернет,, однако, организатор торговли не может гарантировать работоспособность сайтов иностранных эмитентов.</w:t>
      </w:r>
    </w:p>
    <w:p w:rsidR="00455FD9" w:rsidRPr="00B727E7" w:rsidRDefault="00455FD9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Обращаем Ваше внимание на расходы в связи с транзакционными налогами, сборами,  пошлинами и иными платежами, которые могут возникнуть в связи с обращением иностранных ценных бумаг в соответствии с применимым законодательством эмитента.</w:t>
      </w:r>
    </w:p>
    <w:p w:rsidR="00D014DF" w:rsidRPr="00B727E7" w:rsidRDefault="00D014DF" w:rsidP="003D5273">
      <w:pPr>
        <w:spacing w:before="240"/>
        <w:ind w:firstLine="250"/>
        <w:jc w:val="center"/>
        <w:rPr>
          <w:rFonts w:eastAsia="Calibri" w:cs="Times New Roman"/>
        </w:rPr>
      </w:pPr>
      <w:r w:rsidRPr="00B727E7">
        <w:rPr>
          <w:rFonts w:eastAsia="Calibri" w:cs="Times New Roman"/>
        </w:rPr>
        <w:t>***</w:t>
      </w:r>
    </w:p>
    <w:p w:rsidR="00F2695D" w:rsidRPr="00B727E7" w:rsidRDefault="00D014DF" w:rsidP="00F2695D">
      <w:pPr>
        <w:jc w:val="both"/>
        <w:rPr>
          <w:rFonts w:cs="Times New Roman"/>
          <w:bCs/>
        </w:rPr>
      </w:pPr>
      <w:r w:rsidRPr="00B727E7">
        <w:rPr>
          <w:rFonts w:eastAsia="Calibri" w:cs="Times New Roman"/>
        </w:rPr>
        <w:t>Учитывая вышеизложенное,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</w:t>
      </w:r>
      <w:r w:rsidR="00451BAD" w:rsidRPr="00B727E7">
        <w:rPr>
          <w:rFonts w:eastAsia="Calibri" w:cs="Times New Roman"/>
        </w:rPr>
        <w:t>.</w:t>
      </w:r>
      <w:r w:rsidR="00B727E7">
        <w:rPr>
          <w:rFonts w:eastAsia="Calibri" w:cs="Times New Roman"/>
        </w:rPr>
        <w:t xml:space="preserve"> </w:t>
      </w:r>
      <w:r w:rsidR="00F2695D" w:rsidRPr="00B727E7">
        <w:rPr>
          <w:rFonts w:cs="Times New Roman"/>
          <w:bCs/>
        </w:rPr>
        <w:t>Убедитесь, что настоящая Декларация о рисках понятна Вам, и при необходимости получите разъяснения у Вашего брокера или консультанта, специализирующегося на соответствующих вопросах.</w:t>
      </w:r>
    </w:p>
    <w:p w:rsidR="00455FD9" w:rsidRPr="00B727E7" w:rsidRDefault="00455FD9" w:rsidP="00F2695D">
      <w:pPr>
        <w:jc w:val="both"/>
        <w:rPr>
          <w:rFonts w:cs="Times New Roman"/>
          <w:b/>
          <w:bCs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F2695D" w:rsidRPr="00B727E7" w:rsidTr="00F2695D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b/>
                <w:bCs/>
              </w:rPr>
            </w:pPr>
            <w:r w:rsidRPr="00B727E7">
              <w:rPr>
                <w:rFonts w:cs="Times New Roman"/>
                <w:b/>
                <w:bCs/>
              </w:rPr>
              <w:t>КЛИЕНТ</w:t>
            </w:r>
          </w:p>
        </w:tc>
      </w:tr>
      <w:tr w:rsidR="00F2695D" w:rsidRPr="00B727E7" w:rsidTr="00F2695D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5D" w:rsidRPr="00B727E7" w:rsidRDefault="00F2695D">
            <w:pPr>
              <w:spacing w:line="360" w:lineRule="auto"/>
              <w:ind w:firstLine="567"/>
              <w:rPr>
                <w:rFonts w:cs="Times New Roman"/>
              </w:rPr>
            </w:pPr>
          </w:p>
        </w:tc>
      </w:tr>
      <w:tr w:rsidR="00F2695D" w:rsidRPr="00B727E7" w:rsidTr="00F2695D">
        <w:trPr>
          <w:trHeight w:val="2421"/>
        </w:trPr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i/>
              </w:rPr>
            </w:pPr>
            <w:r w:rsidRPr="00B727E7">
              <w:rPr>
                <w:rFonts w:cs="Times New Roman"/>
                <w:i/>
              </w:rPr>
              <w:t>Полное наименование / Ф.И.О полностью</w:t>
            </w:r>
          </w:p>
          <w:p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</w:rPr>
            </w:pPr>
          </w:p>
          <w:p w:rsidR="00F2695D" w:rsidRPr="00B727E7" w:rsidRDefault="00F2695D">
            <w:pPr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B727E7">
              <w:rPr>
                <w:rFonts w:cs="Times New Roman"/>
              </w:rPr>
              <w:t>_______________________/____________________</w:t>
            </w:r>
          </w:p>
          <w:p w:rsidR="00F2695D" w:rsidRPr="00B727E7" w:rsidRDefault="00F2695D">
            <w:pPr>
              <w:spacing w:after="0" w:line="240" w:lineRule="auto"/>
              <w:ind w:firstLine="567"/>
              <w:jc w:val="both"/>
              <w:rPr>
                <w:rFonts w:cs="Times New Roman"/>
                <w:i/>
              </w:rPr>
            </w:pPr>
            <w:r w:rsidRPr="00B727E7">
              <w:rPr>
                <w:rFonts w:cs="Times New Roman"/>
                <w:i/>
              </w:rPr>
              <w:t xml:space="preserve">                       (подпись)                                       (Ф.И.О.)</w:t>
            </w:r>
          </w:p>
          <w:p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i/>
              </w:rPr>
            </w:pPr>
          </w:p>
          <w:p w:rsidR="00F2695D" w:rsidRPr="00B727E7" w:rsidRDefault="00F2695D">
            <w:pPr>
              <w:spacing w:after="20" w:line="360" w:lineRule="auto"/>
              <w:ind w:firstLine="567"/>
              <w:jc w:val="both"/>
              <w:rPr>
                <w:rFonts w:cs="Times New Roman"/>
              </w:rPr>
            </w:pPr>
            <w:r w:rsidRPr="00B727E7">
              <w:rPr>
                <w:rFonts w:cs="Times New Roman"/>
              </w:rPr>
              <w:t>Под</w:t>
            </w:r>
            <w:r w:rsidR="00455FD9" w:rsidRPr="00B727E7">
              <w:rPr>
                <w:rFonts w:cs="Times New Roman"/>
              </w:rPr>
              <w:t>писано «___» _______________ 20_</w:t>
            </w:r>
            <w:r w:rsidRPr="00B727E7">
              <w:rPr>
                <w:rFonts w:cs="Times New Roman"/>
              </w:rPr>
              <w:t>__ г.</w:t>
            </w:r>
          </w:p>
          <w:p w:rsidR="00F2695D" w:rsidRPr="00B727E7" w:rsidRDefault="00F2695D">
            <w:pPr>
              <w:spacing w:after="20" w:line="360" w:lineRule="auto"/>
              <w:ind w:firstLine="567"/>
              <w:jc w:val="both"/>
              <w:rPr>
                <w:rFonts w:cs="Times New Roman"/>
              </w:rPr>
            </w:pPr>
          </w:p>
        </w:tc>
      </w:tr>
    </w:tbl>
    <w:p w:rsidR="008B7085" w:rsidRPr="00B727E7" w:rsidRDefault="008B7085" w:rsidP="008B7085">
      <w:pPr>
        <w:spacing w:line="360" w:lineRule="auto"/>
        <w:ind w:firstLine="567"/>
        <w:rPr>
          <w:rFonts w:cs="Times New Roman"/>
        </w:rPr>
      </w:pPr>
    </w:p>
    <w:p w:rsidR="008B7085" w:rsidRPr="00B727E7" w:rsidRDefault="008B7085" w:rsidP="003D5273">
      <w:pPr>
        <w:jc w:val="both"/>
        <w:rPr>
          <w:rFonts w:cs="Times New Roman"/>
        </w:rPr>
      </w:pPr>
    </w:p>
    <w:sectPr w:rsidR="008B7085" w:rsidRPr="00B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D6" w:rsidRDefault="002069D6" w:rsidP="00D014DF">
      <w:pPr>
        <w:spacing w:after="0" w:line="240" w:lineRule="auto"/>
      </w:pPr>
      <w:r>
        <w:separator/>
      </w:r>
    </w:p>
  </w:endnote>
  <w:endnote w:type="continuationSeparator" w:id="0">
    <w:p w:rsidR="002069D6" w:rsidRDefault="002069D6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D6" w:rsidRDefault="002069D6" w:rsidP="00D014DF">
      <w:pPr>
        <w:spacing w:after="0" w:line="240" w:lineRule="auto"/>
      </w:pPr>
      <w:r>
        <w:separator/>
      </w:r>
    </w:p>
  </w:footnote>
  <w:footnote w:type="continuationSeparator" w:id="0">
    <w:p w:rsidR="002069D6" w:rsidRDefault="002069D6" w:rsidP="00D0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2"/>
    <w:rsid w:val="0000163B"/>
    <w:rsid w:val="002069D6"/>
    <w:rsid w:val="002C36DC"/>
    <w:rsid w:val="003127FB"/>
    <w:rsid w:val="00372478"/>
    <w:rsid w:val="003D5273"/>
    <w:rsid w:val="00436C61"/>
    <w:rsid w:val="004503E5"/>
    <w:rsid w:val="00451BAD"/>
    <w:rsid w:val="00455FD9"/>
    <w:rsid w:val="005762A6"/>
    <w:rsid w:val="00635108"/>
    <w:rsid w:val="0070044C"/>
    <w:rsid w:val="008274E6"/>
    <w:rsid w:val="0085223E"/>
    <w:rsid w:val="008A4E83"/>
    <w:rsid w:val="008B7085"/>
    <w:rsid w:val="008D747A"/>
    <w:rsid w:val="008E3545"/>
    <w:rsid w:val="00986557"/>
    <w:rsid w:val="00A75EC2"/>
    <w:rsid w:val="00AA5316"/>
    <w:rsid w:val="00B15682"/>
    <w:rsid w:val="00B727E7"/>
    <w:rsid w:val="00B75630"/>
    <w:rsid w:val="00BC0951"/>
    <w:rsid w:val="00C1429A"/>
    <w:rsid w:val="00C65AC0"/>
    <w:rsid w:val="00CE0BAC"/>
    <w:rsid w:val="00CF5CCD"/>
    <w:rsid w:val="00D014DF"/>
    <w:rsid w:val="00D80CF3"/>
    <w:rsid w:val="00DC532E"/>
    <w:rsid w:val="00DD683D"/>
    <w:rsid w:val="00DE1D5E"/>
    <w:rsid w:val="00DE3C30"/>
    <w:rsid w:val="00DF1F5B"/>
    <w:rsid w:val="00E127D1"/>
    <w:rsid w:val="00F2695D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7AD8"/>
  <w15:docId w15:val="{E2474BE8-05EA-48EC-A54D-B237E002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2019-10-09T13:51:00Z</cp:lastPrinted>
  <dcterms:created xsi:type="dcterms:W3CDTF">2020-11-17T18:35:00Z</dcterms:created>
  <dcterms:modified xsi:type="dcterms:W3CDTF">2020-11-17T18:35:00Z</dcterms:modified>
</cp:coreProperties>
</file>